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F855"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4783B217"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59"/>
        <w:gridCol w:w="2116"/>
        <w:gridCol w:w="8150"/>
      </w:tblGrid>
      <w:tr w:rsidR="00B9564A" w:rsidRPr="001F0BAA" w14:paraId="2DE25F2B" w14:textId="77777777" w:rsidTr="000C61A0">
        <w:trPr>
          <w:trHeight w:val="79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53F4B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9DF306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2517E51" w14:textId="77777777" w:rsidR="000C61A0" w:rsidRPr="000C61A0" w:rsidRDefault="0031502D" w:rsidP="000C61A0">
            <w:pPr>
              <w:spacing w:after="0" w:line="240" w:lineRule="auto"/>
              <w:ind w:left="-567" w:firstLine="425"/>
              <w:rPr>
                <w:rStyle w:val="a5"/>
                <w:rFonts w:eastAsiaTheme="minorHAnsi"/>
                <w:b w:val="0"/>
                <w:i w:val="0"/>
              </w:rPr>
            </w:pPr>
            <w:r>
              <w:rPr>
                <w:rFonts w:ascii="Times New Roman" w:hAnsi="Times New Roman" w:cs="Times New Roman"/>
                <w:bCs/>
                <w:sz w:val="24"/>
                <w:szCs w:val="24"/>
              </w:rPr>
              <w:t xml:space="preserve">    </w:t>
            </w:r>
            <w:r w:rsidR="000C61A0" w:rsidRPr="000C61A0">
              <w:rPr>
                <w:rFonts w:ascii="Times New Roman" w:hAnsi="Times New Roman" w:cs="Times New Roman"/>
                <w:sz w:val="24"/>
                <w:szCs w:val="24"/>
              </w:rPr>
              <w:t>Офісне устаткування та приладдя різне</w:t>
            </w:r>
            <w:r w:rsidR="000C61A0" w:rsidRPr="000C61A0">
              <w:rPr>
                <w:rStyle w:val="a5"/>
                <w:rFonts w:eastAsiaTheme="minorHAnsi"/>
                <w:b w:val="0"/>
                <w:i w:val="0"/>
              </w:rPr>
              <w:t xml:space="preserve"> – за кодом </w:t>
            </w:r>
            <w:r w:rsidR="000C61A0" w:rsidRPr="000C61A0">
              <w:rPr>
                <w:rStyle w:val="a5"/>
                <w:rFonts w:eastAsiaTheme="minorHAnsi"/>
                <w:b w:val="0"/>
                <w:i w:val="0"/>
                <w:lang w:val="en-US"/>
              </w:rPr>
              <w:t>CPV</w:t>
            </w:r>
            <w:r w:rsidR="000C61A0" w:rsidRPr="000C61A0">
              <w:rPr>
                <w:rStyle w:val="a5"/>
                <w:rFonts w:eastAsiaTheme="minorHAnsi"/>
                <w:b w:val="0"/>
                <w:i w:val="0"/>
              </w:rPr>
              <w:t xml:space="preserve"> за  ДК 021:2015 –</w:t>
            </w:r>
          </w:p>
          <w:p w14:paraId="1B67D686" w14:textId="5D10C7C3" w:rsidR="000C61A0" w:rsidRPr="000C61A0" w:rsidRDefault="000C61A0" w:rsidP="000C61A0">
            <w:pPr>
              <w:spacing w:after="0" w:line="240" w:lineRule="auto"/>
              <w:ind w:left="-567" w:firstLine="425"/>
              <w:rPr>
                <w:rFonts w:ascii="Times New Roman" w:hAnsi="Times New Roman" w:cs="Times New Roman"/>
                <w:sz w:val="24"/>
                <w:szCs w:val="24"/>
              </w:rPr>
            </w:pPr>
            <w:r w:rsidRPr="000C61A0">
              <w:rPr>
                <w:rStyle w:val="a5"/>
                <w:rFonts w:eastAsiaTheme="minorHAnsi"/>
                <w:b w:val="0"/>
                <w:i w:val="0"/>
              </w:rPr>
              <w:t xml:space="preserve">    30190000-7 </w:t>
            </w:r>
            <w:r w:rsidR="003A736D">
              <w:rPr>
                <w:rStyle w:val="a5"/>
                <w:rFonts w:eastAsiaTheme="minorHAnsi"/>
                <w:b w:val="0"/>
                <w:i w:val="0"/>
              </w:rPr>
              <w:t>,</w:t>
            </w:r>
            <w:r w:rsidR="003A736D">
              <w:rPr>
                <w:rStyle w:val="a5"/>
                <w:rFonts w:eastAsiaTheme="minorHAnsi"/>
              </w:rPr>
              <w:t xml:space="preserve"> </w:t>
            </w:r>
            <w:r w:rsidR="003A736D" w:rsidRPr="003A736D">
              <w:rPr>
                <w:rStyle w:val="a5"/>
                <w:rFonts w:eastAsiaTheme="minorHAnsi"/>
                <w:b w:val="0"/>
                <w:bCs w:val="0"/>
                <w:i w:val="0"/>
                <w:iCs w:val="0"/>
              </w:rPr>
              <w:t>відповідний код за ДК 021:2015 -</w:t>
            </w:r>
            <w:r w:rsidRPr="000C61A0">
              <w:rPr>
                <w:rFonts w:ascii="Times New Roman" w:hAnsi="Times New Roman" w:cs="Times New Roman"/>
                <w:sz w:val="24"/>
                <w:szCs w:val="24"/>
              </w:rPr>
              <w:t xml:space="preserve">  30199200-2</w:t>
            </w:r>
            <w:r w:rsidR="003A736D">
              <w:rPr>
                <w:rFonts w:ascii="Times New Roman" w:hAnsi="Times New Roman" w:cs="Times New Roman"/>
                <w:sz w:val="24"/>
                <w:szCs w:val="24"/>
              </w:rPr>
              <w:t xml:space="preserve"> </w:t>
            </w:r>
            <w:r w:rsidR="003A736D">
              <w:t xml:space="preserve"> </w:t>
            </w:r>
            <w:r w:rsidR="003A736D">
              <w:rPr>
                <w:rFonts w:ascii="Times New Roman" w:hAnsi="Times New Roman" w:cs="Times New Roman"/>
                <w:sz w:val="24"/>
                <w:szCs w:val="24"/>
              </w:rPr>
              <w:t>К</w:t>
            </w:r>
            <w:r w:rsidRPr="000C61A0">
              <w:rPr>
                <w:rFonts w:ascii="Times New Roman" w:hAnsi="Times New Roman" w:cs="Times New Roman"/>
                <w:sz w:val="24"/>
                <w:szCs w:val="24"/>
              </w:rPr>
              <w:t xml:space="preserve">онверти </w:t>
            </w:r>
          </w:p>
          <w:p w14:paraId="799D9823" w14:textId="2D28ABCC" w:rsidR="001F0BAA" w:rsidRPr="00983A42" w:rsidRDefault="000C61A0" w:rsidP="000C61A0">
            <w:pPr>
              <w:spacing w:after="0" w:line="240" w:lineRule="auto"/>
              <w:ind w:left="-567" w:firstLine="425"/>
              <w:rPr>
                <w:rFonts w:ascii="Times New Roman" w:eastAsia="Times New Roman" w:hAnsi="Times New Roman" w:cs="Times New Roman"/>
                <w:color w:val="333333"/>
                <w:sz w:val="24"/>
                <w:szCs w:val="24"/>
                <w:lang w:eastAsia="uk-UA"/>
              </w:rPr>
            </w:pPr>
            <w:r w:rsidRPr="000C61A0">
              <w:rPr>
                <w:rStyle w:val="a5"/>
                <w:rFonts w:eastAsiaTheme="minorHAnsi"/>
                <w:b w:val="0"/>
                <w:i w:val="0"/>
              </w:rPr>
              <w:t xml:space="preserve">    </w:t>
            </w:r>
            <w:r w:rsidR="003A736D">
              <w:rPr>
                <w:rStyle w:val="a5"/>
                <w:rFonts w:eastAsiaTheme="minorHAnsi"/>
                <w:b w:val="0"/>
                <w:i w:val="0"/>
              </w:rPr>
              <w:t>н</w:t>
            </w:r>
            <w:r w:rsidRPr="000C61A0">
              <w:rPr>
                <w:rFonts w:ascii="Times New Roman" w:hAnsi="Times New Roman" w:cs="Times New Roman"/>
                <w:sz w:val="24"/>
                <w:szCs w:val="24"/>
              </w:rPr>
              <w:t>емарковані</w:t>
            </w:r>
            <w:r w:rsidR="003A736D">
              <w:rPr>
                <w:rFonts w:ascii="Times New Roman" w:hAnsi="Times New Roman" w:cs="Times New Roman"/>
                <w:sz w:val="24"/>
                <w:szCs w:val="24"/>
              </w:rPr>
              <w:t>.</w:t>
            </w:r>
            <w:r w:rsidRPr="000C61A0">
              <w:rPr>
                <w:rFonts w:ascii="Times New Roman" w:hAnsi="Times New Roman" w:cs="Times New Roman"/>
                <w:sz w:val="24"/>
                <w:szCs w:val="24"/>
              </w:rPr>
              <w:t xml:space="preserve"> </w:t>
            </w:r>
          </w:p>
        </w:tc>
      </w:tr>
      <w:tr w:rsidR="00B9564A" w:rsidRPr="001F0BAA" w14:paraId="605DE1F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069B03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990AC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73FA9B1" w14:textId="31639411" w:rsidR="001F0BAA" w:rsidRPr="002E4C78" w:rsidRDefault="001F0BAA" w:rsidP="000C61A0">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3A736D">
              <w:rPr>
                <w:rFonts w:ascii="Times New Roman" w:eastAsia="Times New Roman" w:hAnsi="Times New Roman" w:cs="Times New Roman"/>
                <w:color w:val="333333"/>
                <w:sz w:val="24"/>
                <w:szCs w:val="24"/>
                <w:lang w:eastAsia="uk-UA"/>
              </w:rPr>
              <w:t>5</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3A736D">
              <w:rPr>
                <w:rFonts w:ascii="Times New Roman" w:eastAsia="Times New Roman" w:hAnsi="Times New Roman" w:cs="Times New Roman"/>
                <w:color w:val="333333"/>
                <w:sz w:val="24"/>
                <w:szCs w:val="24"/>
                <w:lang w:eastAsia="uk-UA"/>
              </w:rPr>
              <w:t>4</w:t>
            </w:r>
            <w:r w:rsidR="002E4C78">
              <w:rPr>
                <w:rFonts w:ascii="Times New Roman" w:eastAsia="Times New Roman" w:hAnsi="Times New Roman" w:cs="Times New Roman"/>
                <w:color w:val="333333"/>
                <w:sz w:val="24"/>
                <w:szCs w:val="24"/>
                <w:lang w:eastAsia="uk-UA"/>
              </w:rPr>
              <w:t>-</w:t>
            </w:r>
            <w:r w:rsidR="003A736D">
              <w:rPr>
                <w:rFonts w:ascii="Times New Roman" w:eastAsia="Times New Roman" w:hAnsi="Times New Roman" w:cs="Times New Roman"/>
                <w:color w:val="333333"/>
                <w:sz w:val="24"/>
                <w:szCs w:val="24"/>
                <w:lang w:eastAsia="uk-UA"/>
              </w:rPr>
              <w:t>29</w:t>
            </w:r>
            <w:r w:rsidR="002E4C78">
              <w:rPr>
                <w:rFonts w:ascii="Times New Roman" w:eastAsia="Times New Roman" w:hAnsi="Times New Roman" w:cs="Times New Roman"/>
                <w:color w:val="333333"/>
                <w:sz w:val="24"/>
                <w:szCs w:val="24"/>
                <w:lang w:eastAsia="uk-UA"/>
              </w:rPr>
              <w:t>-0</w:t>
            </w:r>
            <w:r w:rsidR="00603A61">
              <w:rPr>
                <w:rFonts w:ascii="Times New Roman" w:eastAsia="Times New Roman" w:hAnsi="Times New Roman" w:cs="Times New Roman"/>
                <w:color w:val="333333"/>
                <w:sz w:val="24"/>
                <w:szCs w:val="24"/>
                <w:lang w:eastAsia="uk-UA"/>
              </w:rPr>
              <w:t>0</w:t>
            </w:r>
            <w:r w:rsidR="003A736D">
              <w:rPr>
                <w:rFonts w:ascii="Times New Roman" w:eastAsia="Times New Roman" w:hAnsi="Times New Roman" w:cs="Times New Roman"/>
                <w:color w:val="333333"/>
                <w:sz w:val="24"/>
                <w:szCs w:val="24"/>
                <w:lang w:eastAsia="uk-UA"/>
              </w:rPr>
              <w:t>5530</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B9564A" w:rsidRPr="001F0BAA" w14:paraId="7534864F"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CB375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BC12A0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C76D35F"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597A228"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B9564A" w:rsidRPr="001F0BAA" w14:paraId="0A9F2DF1" w14:textId="77777777" w:rsidTr="00704C3D">
        <w:trPr>
          <w:trHeight w:val="1758"/>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B11843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A0A84E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099780C" w14:textId="4CA20ACD" w:rsidR="00605E7F" w:rsidRPr="00A43F04" w:rsidRDefault="00605E7F" w:rsidP="00A43F04">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0F7D6F" w:rsidRPr="0095387D">
              <w:rPr>
                <w:rFonts w:ascii="Times New Roman" w:hAnsi="Times New Roman"/>
                <w:sz w:val="24"/>
                <w:szCs w:val="24"/>
              </w:rPr>
              <w:t xml:space="preserve">   </w:t>
            </w:r>
            <w:r w:rsidR="00A43F04" w:rsidRPr="00A43F04">
              <w:rPr>
                <w:rFonts w:ascii="Times New Roman" w:hAnsi="Times New Roman" w:cs="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w:t>
            </w:r>
            <w:r w:rsidR="009D204E">
              <w:rPr>
                <w:rFonts w:ascii="Times New Roman" w:hAnsi="Times New Roman" w:cs="Times New Roman"/>
                <w:sz w:val="24"/>
                <w:szCs w:val="24"/>
              </w:rPr>
              <w:t xml:space="preserve"> </w:t>
            </w:r>
            <w:r w:rsidR="00A43F04" w:rsidRPr="00A43F04">
              <w:rPr>
                <w:rFonts w:ascii="Times New Roman" w:hAnsi="Times New Roman" w:cs="Times New Roman"/>
                <w:sz w:val="24"/>
                <w:szCs w:val="24"/>
              </w:rPr>
              <w:t xml:space="preserve">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A43F04" w:rsidRPr="00A43F04">
              <w:rPr>
                <w:rFonts w:ascii="Times New Roman" w:hAnsi="Times New Roman" w:cs="Times New Roman"/>
                <w:sz w:val="24"/>
                <w:szCs w:val="24"/>
              </w:rPr>
              <w:t>закупівель</w:t>
            </w:r>
            <w:proofErr w:type="spellEnd"/>
            <w:r w:rsidR="00A43F04" w:rsidRPr="00A43F04">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00A43F04" w:rsidRPr="00A43F04">
              <w:rPr>
                <w:rFonts w:ascii="Times New Roman" w:hAnsi="Times New Roman" w:cs="Times New Roman"/>
                <w:sz w:val="24"/>
                <w:szCs w:val="24"/>
              </w:rPr>
              <w:t>закупівель</w:t>
            </w:r>
            <w:proofErr w:type="spellEnd"/>
            <w:r w:rsidR="00A43F04" w:rsidRPr="00A43F04">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Очікувана вартість предмета закупівлі визначена методом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A43F04" w:rsidRPr="00A43F04">
              <w:rPr>
                <w:rFonts w:ascii="Times New Roman" w:hAnsi="Times New Roman" w:cs="Times New Roman"/>
                <w:sz w:val="24"/>
                <w:szCs w:val="24"/>
              </w:rPr>
              <w:t>закупівель</w:t>
            </w:r>
            <w:proofErr w:type="spellEnd"/>
            <w:r w:rsidR="00A43F04" w:rsidRPr="00A43F04">
              <w:rPr>
                <w:rFonts w:ascii="Times New Roman" w:hAnsi="Times New Roman" w:cs="Times New Roman"/>
                <w:sz w:val="24"/>
                <w:szCs w:val="24"/>
              </w:rPr>
              <w:t xml:space="preserve"> «Прозоро» з урахуванням фактичних обсягів використання паперових конвертів  у попередніх періодах та в межах наявних кошторисних призначень</w:t>
            </w:r>
            <w:r w:rsidR="003A736D">
              <w:rPr>
                <w:rFonts w:ascii="Times New Roman" w:hAnsi="Times New Roman" w:cs="Times New Roman"/>
                <w:sz w:val="24"/>
                <w:szCs w:val="24"/>
              </w:rPr>
              <w:t xml:space="preserve"> та на підставі цінових пропозицій отриманих від трьох учасників.</w:t>
            </w:r>
          </w:p>
        </w:tc>
      </w:tr>
      <w:tr w:rsidR="00B9564A" w:rsidRPr="001F0BAA" w14:paraId="7F714785" w14:textId="77777777" w:rsidTr="00A43F04">
        <w:trPr>
          <w:trHeight w:val="1731"/>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B2384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2547A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03A4E98" w14:textId="304F0410" w:rsidR="00D234F4" w:rsidRDefault="00704C3D" w:rsidP="00A43F04">
            <w:pPr>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A43F04">
              <w:rPr>
                <w:rFonts w:ascii="Times New Roman" w:hAnsi="Times New Roman" w:cs="Times New Roman"/>
                <w:sz w:val="24"/>
                <w:szCs w:val="24"/>
                <w:lang w:eastAsia="uk-UA"/>
              </w:rPr>
              <w:t xml:space="preserve">     </w:t>
            </w:r>
            <w:r w:rsidRPr="00704C3D">
              <w:rPr>
                <w:rFonts w:ascii="Times New Roman" w:hAnsi="Times New Roman" w:cs="Times New Roman"/>
                <w:sz w:val="24"/>
                <w:szCs w:val="24"/>
                <w:lang w:eastAsia="uk-UA"/>
              </w:rPr>
              <w:t>Розмір бюджетного призначення встановлено відповідно до кошторису на 202</w:t>
            </w:r>
            <w:r w:rsidR="003A736D">
              <w:rPr>
                <w:rFonts w:ascii="Times New Roman" w:hAnsi="Times New Roman" w:cs="Times New Roman"/>
                <w:sz w:val="24"/>
                <w:szCs w:val="24"/>
                <w:lang w:eastAsia="uk-UA"/>
              </w:rPr>
              <w:t>5</w:t>
            </w:r>
            <w:r w:rsidRPr="00704C3D">
              <w:rPr>
                <w:rFonts w:ascii="Times New Roman" w:hAnsi="Times New Roman" w:cs="Times New Roman"/>
                <w:sz w:val="24"/>
                <w:szCs w:val="24"/>
                <w:lang w:eastAsia="uk-UA"/>
              </w:rPr>
              <w:t xml:space="preserve"> рік та складає </w:t>
            </w:r>
            <w:r w:rsidR="003A736D">
              <w:rPr>
                <w:rFonts w:ascii="Times New Roman" w:hAnsi="Times New Roman" w:cs="Times New Roman"/>
                <w:sz w:val="24"/>
                <w:szCs w:val="24"/>
                <w:lang w:eastAsia="uk-UA"/>
              </w:rPr>
              <w:t>56</w:t>
            </w:r>
            <w:r w:rsidRPr="00704C3D">
              <w:rPr>
                <w:rFonts w:ascii="Times New Roman" w:hAnsi="Times New Roman" w:cs="Times New Roman"/>
                <w:sz w:val="24"/>
                <w:szCs w:val="24"/>
                <w:lang w:eastAsia="uk-UA"/>
              </w:rPr>
              <w:t> </w:t>
            </w:r>
            <w:r w:rsidR="003A736D">
              <w:rPr>
                <w:rFonts w:ascii="Times New Roman" w:hAnsi="Times New Roman" w:cs="Times New Roman"/>
                <w:sz w:val="24"/>
                <w:szCs w:val="24"/>
                <w:lang w:eastAsia="uk-UA"/>
              </w:rPr>
              <w:t>620</w:t>
            </w:r>
            <w:r w:rsidRPr="00704C3D">
              <w:rPr>
                <w:rFonts w:ascii="Times New Roman" w:hAnsi="Times New Roman" w:cs="Times New Roman"/>
                <w:sz w:val="24"/>
                <w:szCs w:val="24"/>
                <w:lang w:eastAsia="uk-UA"/>
              </w:rPr>
              <w:t xml:space="preserve"> грн. </w:t>
            </w:r>
            <w:r w:rsidR="003A736D">
              <w:rPr>
                <w:rFonts w:ascii="Times New Roman" w:hAnsi="Times New Roman" w:cs="Times New Roman"/>
                <w:sz w:val="24"/>
                <w:szCs w:val="24"/>
                <w:lang w:eastAsia="uk-UA"/>
              </w:rPr>
              <w:t>(п</w:t>
            </w:r>
            <w:r w:rsidRPr="00704C3D">
              <w:rPr>
                <w:rFonts w:ascii="Times New Roman" w:hAnsi="Times New Roman" w:cs="Times New Roman"/>
                <w:sz w:val="24"/>
                <w:szCs w:val="24"/>
                <w:lang w:val="ru-RU" w:eastAsia="uk-UA"/>
              </w:rPr>
              <w:t>’</w:t>
            </w:r>
            <w:proofErr w:type="spellStart"/>
            <w:r w:rsidR="001C0FAF">
              <w:rPr>
                <w:rFonts w:ascii="Times New Roman" w:hAnsi="Times New Roman" w:cs="Times New Roman"/>
                <w:sz w:val="24"/>
                <w:szCs w:val="24"/>
                <w:lang w:eastAsia="uk-UA"/>
              </w:rPr>
              <w:t>ят</w:t>
            </w:r>
            <w:r w:rsidR="003A736D">
              <w:rPr>
                <w:rFonts w:ascii="Times New Roman" w:hAnsi="Times New Roman" w:cs="Times New Roman"/>
                <w:sz w:val="24"/>
                <w:szCs w:val="24"/>
                <w:lang w:eastAsia="uk-UA"/>
              </w:rPr>
              <w:t>десят</w:t>
            </w:r>
            <w:proofErr w:type="spellEnd"/>
            <w:r w:rsidR="003A736D">
              <w:rPr>
                <w:rFonts w:ascii="Times New Roman" w:hAnsi="Times New Roman" w:cs="Times New Roman"/>
                <w:sz w:val="24"/>
                <w:szCs w:val="24"/>
                <w:lang w:eastAsia="uk-UA"/>
              </w:rPr>
              <w:t xml:space="preserve"> шість </w:t>
            </w:r>
            <w:r w:rsidR="001C0FAF">
              <w:rPr>
                <w:rFonts w:ascii="Times New Roman" w:hAnsi="Times New Roman" w:cs="Times New Roman"/>
                <w:sz w:val="24"/>
                <w:szCs w:val="24"/>
                <w:lang w:eastAsia="uk-UA"/>
              </w:rPr>
              <w:t xml:space="preserve"> тисяч</w:t>
            </w:r>
            <w:r w:rsidR="003A736D">
              <w:rPr>
                <w:rFonts w:ascii="Times New Roman" w:hAnsi="Times New Roman" w:cs="Times New Roman"/>
                <w:sz w:val="24"/>
                <w:szCs w:val="24"/>
                <w:lang w:eastAsia="uk-UA"/>
              </w:rPr>
              <w:t xml:space="preserve"> шістсот двадцять </w:t>
            </w:r>
            <w:r w:rsidR="001C0FAF">
              <w:rPr>
                <w:rFonts w:ascii="Times New Roman" w:hAnsi="Times New Roman" w:cs="Times New Roman"/>
                <w:sz w:val="24"/>
                <w:szCs w:val="24"/>
                <w:lang w:eastAsia="uk-UA"/>
              </w:rPr>
              <w:t xml:space="preserve"> грн. 00 коп.).</w:t>
            </w:r>
          </w:p>
          <w:p w14:paraId="67E60C43" w14:textId="7B105932" w:rsidR="00704C3D" w:rsidRPr="00704C3D" w:rsidRDefault="00A43F04" w:rsidP="00A43F04">
            <w:pPr>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Загальний обсяг сформовано відповідно до наявних  потреб структурних підрозділів Вінницької міської ради та з урахуванням аналізу використання конвертів </w:t>
            </w:r>
            <w:r w:rsidR="003A736D">
              <w:rPr>
                <w:rFonts w:ascii="Times New Roman" w:hAnsi="Times New Roman" w:cs="Times New Roman"/>
                <w:sz w:val="24"/>
                <w:szCs w:val="24"/>
                <w:lang w:eastAsia="uk-UA"/>
              </w:rPr>
              <w:t xml:space="preserve">за </w:t>
            </w:r>
            <w:r>
              <w:rPr>
                <w:rFonts w:ascii="Times New Roman" w:hAnsi="Times New Roman" w:cs="Times New Roman"/>
                <w:sz w:val="24"/>
                <w:szCs w:val="24"/>
                <w:lang w:eastAsia="uk-UA"/>
              </w:rPr>
              <w:t xml:space="preserve">попередній рік. </w:t>
            </w:r>
          </w:p>
        </w:tc>
      </w:tr>
      <w:tr w:rsidR="00B9564A" w:rsidRPr="001F0BAA" w14:paraId="114153DD"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7D1A9B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68704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1EA8205F" w14:textId="6EC0B09C" w:rsidR="00B9564A" w:rsidRPr="00B9564A" w:rsidRDefault="00336387" w:rsidP="00704C3D">
            <w:pPr>
              <w:spacing w:after="0" w:line="240" w:lineRule="auto"/>
              <w:jc w:val="both"/>
              <w:rPr>
                <w:rFonts w:ascii="Times New Roman" w:eastAsia="Times New Roman" w:hAnsi="Times New Roman" w:cs="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00B9564A" w:rsidRPr="00B9564A">
              <w:rPr>
                <w:rFonts w:ascii="Times New Roman" w:hAnsi="Times New Roman" w:cs="Times New Roman"/>
                <w:sz w:val="24"/>
                <w:szCs w:val="24"/>
              </w:rPr>
              <w:t xml:space="preserve">З метою організаційного забезпечення ефективної діяльності та реалізації повноважень структурних  підрозділів Вінницької міської ради , зокрема забезпечення документообігу між  органами виконавчої влади та   мешканцями Вінницької територіальної громади та надання їм послуг була надана пропозиція закупівлі конвертів поштових форматів С4, С5, С6 </w:t>
            </w:r>
            <w:r w:rsidR="003A736D">
              <w:rPr>
                <w:rFonts w:ascii="Times New Roman" w:hAnsi="Times New Roman" w:cs="Times New Roman"/>
                <w:sz w:val="24"/>
                <w:szCs w:val="24"/>
              </w:rPr>
              <w:t>.</w:t>
            </w:r>
          </w:p>
          <w:p w14:paraId="32EEA86B" w14:textId="77777777" w:rsidR="001F0BAA" w:rsidRDefault="00B9564A" w:rsidP="00B9564A">
            <w:pPr>
              <w:spacing w:after="0" w:line="240" w:lineRule="auto"/>
              <w:jc w:val="both"/>
              <w:rPr>
                <w:color w:val="000000"/>
                <w:shd w:val="clear" w:color="auto" w:fill="FFFFFF"/>
              </w:rPr>
            </w:pPr>
            <w:r w:rsidRPr="00B9564A">
              <w:rPr>
                <w:rFonts w:ascii="Times New Roman" w:eastAsia="Times New Roman" w:hAnsi="Times New Roman" w:cs="Times New Roman"/>
                <w:sz w:val="24"/>
                <w:szCs w:val="24"/>
                <w:lang w:eastAsia="uk-UA"/>
              </w:rPr>
              <w:t xml:space="preserve">  </w:t>
            </w:r>
            <w:r w:rsidR="00FC3DF3" w:rsidRPr="00B9564A">
              <w:rPr>
                <w:rFonts w:ascii="Times New Roman" w:eastAsia="Times New Roman" w:hAnsi="Times New Roman" w:cs="Times New Roman"/>
                <w:sz w:val="24"/>
                <w:szCs w:val="24"/>
                <w:lang w:eastAsia="uk-UA"/>
              </w:rPr>
              <w:t xml:space="preserve"> </w:t>
            </w:r>
            <w:r w:rsidRPr="00B9564A">
              <w:rPr>
                <w:rFonts w:ascii="Times New Roman" w:hAnsi="Times New Roman" w:cs="Times New Roman"/>
                <w:color w:val="191919"/>
                <w:sz w:val="24"/>
                <w:szCs w:val="24"/>
                <w:shd w:val="clear" w:color="auto" w:fill="FFFFFF"/>
              </w:rPr>
              <w:t xml:space="preserve">Технічні та якісні характеристики предмета закупівлі  визначені на підставі реальних потреб замовника та </w:t>
            </w:r>
            <w:r w:rsidRPr="00B9564A">
              <w:rPr>
                <w:rFonts w:ascii="Times New Roman" w:hAnsi="Times New Roman" w:cs="Times New Roman"/>
                <w:color w:val="000000"/>
                <w:sz w:val="24"/>
                <w:szCs w:val="24"/>
                <w:shd w:val="clear" w:color="auto" w:fill="FFFFFF"/>
              </w:rPr>
              <w:t>урахуванням вимог нормативних документів у сфері стандартизації</w:t>
            </w:r>
            <w:r>
              <w:rPr>
                <w:color w:val="000000"/>
                <w:shd w:val="clear" w:color="auto" w:fill="FFFFFF"/>
              </w:rPr>
              <w:t>.</w:t>
            </w:r>
          </w:p>
          <w:p w14:paraId="08BFCFED" w14:textId="6463D89B" w:rsidR="00CD6AB3" w:rsidRPr="00CD6AB3" w:rsidRDefault="00CD6AB3" w:rsidP="00B9564A">
            <w:pPr>
              <w:spacing w:after="0" w:line="240" w:lineRule="auto"/>
              <w:jc w:val="both"/>
              <w:rPr>
                <w:rFonts w:ascii="Times New Roman" w:hAnsi="Times New Roman" w:cs="Times New Roman"/>
                <w:color w:val="000000"/>
                <w:sz w:val="24"/>
                <w:szCs w:val="24"/>
                <w:shd w:val="clear" w:color="auto" w:fill="FFFFFF"/>
              </w:rPr>
            </w:pPr>
            <w:r>
              <w:rPr>
                <w:color w:val="000000"/>
                <w:shd w:val="clear" w:color="auto" w:fill="FFFFFF"/>
              </w:rPr>
              <w:t xml:space="preserve">     </w:t>
            </w:r>
            <w:r w:rsidRPr="00CD6AB3">
              <w:rPr>
                <w:rFonts w:ascii="Times New Roman" w:hAnsi="Times New Roman" w:cs="Times New Roman"/>
                <w:color w:val="000000"/>
                <w:sz w:val="24"/>
                <w:szCs w:val="24"/>
                <w:shd w:val="clear" w:color="auto" w:fill="FFFFFF"/>
              </w:rPr>
              <w:t xml:space="preserve">Інформація про необхідні технічні та якісні характеристики зазначена в Додатку </w:t>
            </w:r>
            <w:r w:rsidR="003A736D">
              <w:rPr>
                <w:rFonts w:ascii="Times New Roman" w:hAnsi="Times New Roman" w:cs="Times New Roman"/>
                <w:color w:val="000000"/>
                <w:sz w:val="24"/>
                <w:szCs w:val="24"/>
                <w:shd w:val="clear" w:color="auto" w:fill="FFFFFF"/>
              </w:rPr>
              <w:t>4</w:t>
            </w:r>
            <w:r w:rsidRPr="00CD6AB3">
              <w:rPr>
                <w:rFonts w:ascii="Times New Roman" w:hAnsi="Times New Roman" w:cs="Times New Roman"/>
                <w:color w:val="000000"/>
                <w:sz w:val="24"/>
                <w:szCs w:val="24"/>
                <w:shd w:val="clear" w:color="auto" w:fill="FFFFFF"/>
              </w:rPr>
              <w:t xml:space="preserve"> до ТД.</w:t>
            </w:r>
          </w:p>
          <w:p w14:paraId="41987806" w14:textId="77777777" w:rsidR="00CD6AB3" w:rsidRPr="009B4D03" w:rsidRDefault="00CD6AB3" w:rsidP="00B9564A">
            <w:pPr>
              <w:spacing w:after="0" w:line="240" w:lineRule="auto"/>
              <w:jc w:val="both"/>
              <w:rPr>
                <w:rFonts w:ascii="Times New Roman" w:eastAsia="Times New Roman" w:hAnsi="Times New Roman" w:cs="Times New Roman"/>
                <w:color w:val="333333"/>
                <w:sz w:val="24"/>
                <w:szCs w:val="24"/>
                <w:lang w:eastAsia="uk-UA"/>
              </w:rPr>
            </w:pPr>
          </w:p>
        </w:tc>
      </w:tr>
    </w:tbl>
    <w:p w14:paraId="123B00A2" w14:textId="77777777" w:rsidR="00453140" w:rsidRDefault="00453140"/>
    <w:sectPr w:rsidR="00453140" w:rsidSect="00CD6AB3">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694B"/>
    <w:rsid w:val="00031EA1"/>
    <w:rsid w:val="000A3433"/>
    <w:rsid w:val="000C1A06"/>
    <w:rsid w:val="000C61A0"/>
    <w:rsid w:val="000F50FA"/>
    <w:rsid w:val="000F7D6F"/>
    <w:rsid w:val="00132E4C"/>
    <w:rsid w:val="001C0FAF"/>
    <w:rsid w:val="001C7DA3"/>
    <w:rsid w:val="001F0BAA"/>
    <w:rsid w:val="002336C8"/>
    <w:rsid w:val="0026298A"/>
    <w:rsid w:val="002B1867"/>
    <w:rsid w:val="002C63FD"/>
    <w:rsid w:val="002E4C78"/>
    <w:rsid w:val="0031502D"/>
    <w:rsid w:val="00336387"/>
    <w:rsid w:val="0037784B"/>
    <w:rsid w:val="003A736D"/>
    <w:rsid w:val="003B4258"/>
    <w:rsid w:val="00453140"/>
    <w:rsid w:val="005E0AEA"/>
    <w:rsid w:val="00603A61"/>
    <w:rsid w:val="00605E7F"/>
    <w:rsid w:val="00704C3D"/>
    <w:rsid w:val="00774E8E"/>
    <w:rsid w:val="007B2E56"/>
    <w:rsid w:val="00816C61"/>
    <w:rsid w:val="008770E1"/>
    <w:rsid w:val="00891064"/>
    <w:rsid w:val="008A0537"/>
    <w:rsid w:val="0095387D"/>
    <w:rsid w:val="00983A42"/>
    <w:rsid w:val="009B4D03"/>
    <w:rsid w:val="009D204E"/>
    <w:rsid w:val="009E45B2"/>
    <w:rsid w:val="00A43F04"/>
    <w:rsid w:val="00AA0FF3"/>
    <w:rsid w:val="00AD183C"/>
    <w:rsid w:val="00B060B1"/>
    <w:rsid w:val="00B2146D"/>
    <w:rsid w:val="00B9564A"/>
    <w:rsid w:val="00CD6AB3"/>
    <w:rsid w:val="00D234F4"/>
    <w:rsid w:val="00E248B6"/>
    <w:rsid w:val="00E9046C"/>
    <w:rsid w:val="00EB7F33"/>
    <w:rsid w:val="00F13671"/>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54D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0C61A0"/>
    <w:pPr>
      <w:spacing w:after="0" w:line="240" w:lineRule="auto"/>
    </w:pPr>
    <w:rPr>
      <w:rFonts w:ascii="Verdana" w:eastAsia="Times New Roman" w:hAnsi="Verdana" w:cs="Verdana"/>
      <w:sz w:val="20"/>
      <w:szCs w:val="20"/>
    </w:rPr>
  </w:style>
  <w:style w:type="character" w:customStyle="1" w:styleId="a5">
    <w:name w:val="Основний текст + Напівжирний"/>
    <w:aliases w:val="Курсив"/>
    <w:rsid w:val="000C61A0"/>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863054535">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58574067">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2143</Words>
  <Characters>1223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80</cp:revision>
  <dcterms:created xsi:type="dcterms:W3CDTF">2021-09-01T05:40:00Z</dcterms:created>
  <dcterms:modified xsi:type="dcterms:W3CDTF">2025-04-30T13:05:00Z</dcterms:modified>
</cp:coreProperties>
</file>